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500" w:before="0" w:after="360"/>
        <w:rPr>
          <w:rFonts w:ascii="標楷體" w:hAnsi="標楷體" w:eastAsia="標楷體"/>
          <w:b/>
          <w:b/>
          <w:sz w:val="36"/>
          <w:szCs w:val="28"/>
        </w:rPr>
      </w:pPr>
      <w:bookmarkStart w:id="0" w:name="__DdeLink__420_1865508725"/>
      <w:bookmarkStart w:id="1" w:name="_GoBack"/>
      <w:bookmarkEnd w:id="1"/>
      <w:r>
        <w:rPr>
          <w:rFonts w:ascii="標楷體" w:hAnsi="標楷體" w:eastAsia="標楷體"/>
          <w:b/>
          <w:sz w:val="36"/>
          <w:szCs w:val="28"/>
          <w:lang w:eastAsia="zh-HK"/>
        </w:rPr>
        <w:t>國民</w:t>
      </w:r>
      <w:r>
        <w:rPr>
          <w:rFonts w:ascii="標楷體" w:hAnsi="標楷體" w:eastAsia="標楷體"/>
          <w:b/>
          <w:sz w:val="36"/>
          <w:szCs w:val="28"/>
        </w:rPr>
        <w:t>健</w:t>
      </w:r>
      <w:r>
        <w:rPr>
          <w:rFonts w:ascii="標楷體" w:hAnsi="標楷體" w:eastAsia="標楷體"/>
          <w:b/>
          <w:sz w:val="36"/>
          <w:szCs w:val="28"/>
          <w:lang w:eastAsia="zh-HK"/>
        </w:rPr>
        <w:t>康署補助之</w:t>
      </w:r>
      <w:r>
        <w:rPr>
          <w:rFonts w:ascii="標楷體" w:hAnsi="標楷體" w:eastAsia="標楷體"/>
          <w:b/>
          <w:sz w:val="36"/>
          <w:szCs w:val="28"/>
        </w:rPr>
        <w:t>免</w:t>
      </w:r>
      <w:r>
        <w:rPr>
          <w:rFonts w:ascii="標楷體" w:hAnsi="標楷體" w:eastAsia="標楷體"/>
          <w:b/>
          <w:sz w:val="36"/>
          <w:szCs w:val="28"/>
          <w:lang w:eastAsia="zh-HK"/>
        </w:rPr>
        <w:t>費成人預防保</w:t>
      </w:r>
      <w:bookmarkEnd w:id="0"/>
      <w:r>
        <w:rPr>
          <w:rFonts w:ascii="標楷體" w:hAnsi="標楷體" w:eastAsia="標楷體"/>
          <w:b/>
          <w:sz w:val="36"/>
          <w:szCs w:val="28"/>
        </w:rPr>
        <w:t>健及癌症篩檢服務項目及檢查對象一覽表</w:t>
      </w:r>
    </w:p>
    <w:p>
      <w:pPr>
        <w:pStyle w:val="Normal"/>
        <w:spacing w:lineRule="exact" w:line="500"/>
        <w:jc w:val="right"/>
        <w:rPr>
          <w:rFonts w:ascii="標楷體" w:hAnsi="標楷體" w:eastAsia="標楷體"/>
          <w:b/>
          <w:b/>
          <w:szCs w:val="24"/>
        </w:rPr>
      </w:pPr>
      <w:r>
        <w:rPr>
          <w:rFonts w:ascii="標楷體" w:hAnsi="標楷體" w:eastAsia="標楷體"/>
          <w:b/>
          <w:szCs w:val="24"/>
        </w:rPr>
        <w:t>資料來源：國民健康署發布之預防保健服務檢查對象及服務項目</w:t>
      </w:r>
    </w:p>
    <w:tbl>
      <w:tblPr>
        <w:tblW w:w="8682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211"/>
        <w:gridCol w:w="1529"/>
        <w:gridCol w:w="1416"/>
        <w:gridCol w:w="1985"/>
        <w:gridCol w:w="2541"/>
      </w:tblGrid>
      <w:tr>
        <w:trPr>
          <w:tblHeader w:val="true"/>
        </w:trPr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400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b/>
                <w:bCs/>
                <w:color w:val="000000"/>
                <w:sz w:val="28"/>
                <w:szCs w:val="28"/>
              </w:rPr>
              <w:t>項目</w:t>
            </w:r>
            <w:r>
              <w:rPr>
                <w:rFonts w:ascii="新細明體" w:hAnsi="新細明體" w:cs="新細明體" w:eastAsia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400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b/>
                <w:bCs/>
                <w:color w:val="000000"/>
                <w:sz w:val="28"/>
                <w:szCs w:val="28"/>
              </w:rPr>
              <w:t>對</w:t>
            </w:r>
            <w:r>
              <w:rPr>
                <w:rFonts w:ascii="Times New Roman" w:hAnsi="Times New Roman" w:eastAsia="標楷體"/>
                <w:b/>
                <w:bCs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新細明體" w:eastAsia="標楷體"/>
                <w:b/>
                <w:bCs/>
                <w:color w:val="000000"/>
                <w:sz w:val="28"/>
                <w:szCs w:val="28"/>
              </w:rPr>
              <w:t>象</w:t>
            </w:r>
            <w:r>
              <w:rPr>
                <w:rFonts w:ascii="新細明體" w:hAnsi="新細明體" w:cs="新細明體" w:eastAsia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400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b/>
                <w:bCs/>
                <w:color w:val="000000"/>
                <w:sz w:val="28"/>
                <w:szCs w:val="28"/>
              </w:rPr>
              <w:t>次數</w:t>
            </w:r>
            <w:r>
              <w:rPr>
                <w:rFonts w:ascii="新細明體" w:hAnsi="新細明體" w:cs="新細明體" w:eastAsia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400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b/>
                <w:bCs/>
                <w:color w:val="000000"/>
                <w:sz w:val="28"/>
                <w:szCs w:val="28"/>
              </w:rPr>
              <w:t>補助內容</w:t>
            </w:r>
            <w:r>
              <w:rPr>
                <w:rFonts w:ascii="新細明體" w:hAnsi="新細明體" w:cs="新細明體" w:eastAsia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400"/>
              <w:jc w:val="center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b/>
                <w:bCs/>
                <w:color w:val="000000"/>
                <w:sz w:val="28"/>
                <w:szCs w:val="28"/>
              </w:rPr>
              <w:t>服務項目</w:t>
            </w:r>
            <w:r>
              <w:rPr>
                <w:rFonts w:ascii="新細明體" w:hAnsi="新細明體" w:cs="新細明體" w:eastAsia="標楷體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rPr>
          <w:trHeight w:val="2152" w:hRule="atLeast"/>
        </w:trPr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成人預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防保健「健康加值」方案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40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歲以上未滿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65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歲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每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3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年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次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520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元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案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eastAsia="標楷體"/>
                <w:color w:val="000000"/>
                <w:szCs w:val="24"/>
              </w:rPr>
              <w:t> </w:t>
            </w:r>
          </w:p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(BC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型肝炎篩檢另補助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200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元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案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 xml:space="preserve">) </w:t>
            </w:r>
          </w:p>
        </w:tc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1.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基本資料：問卷（疾病史、家族史、服藥史、健康行為、憂鬱檢測等）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widowControl/>
              <w:snapToGrid w:val="false"/>
              <w:spacing w:lineRule="exact" w:line="320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2.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身體檢查：一般理學檢查、身高、體重、</w:t>
            </w:r>
            <w:r>
              <w:rPr>
                <w:rFonts w:ascii="Times New Roman" w:hAnsi="Times New Roman" w:eastAsia="標楷體"/>
                <w:color w:val="000000"/>
                <w:szCs w:val="24"/>
              </w:rPr>
              <w:t xml:space="preserve"> 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血壓、身體質量指數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(BMI )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、腰圍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widowControl/>
              <w:snapToGrid w:val="false"/>
              <w:spacing w:lineRule="exact" w:line="320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3.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實驗室檢查：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widowControl/>
              <w:snapToGrid w:val="false"/>
              <w:spacing w:lineRule="exact" w:line="320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</w:rPr>
              <w:t>(1)</w:t>
            </w:r>
            <w:r>
              <w:rPr>
                <w:rFonts w:eastAsia="Times New Roman"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尿液檢查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 xml:space="preserve">: 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蛋白質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widowControl/>
              <w:snapToGrid w:val="false"/>
              <w:spacing w:lineRule="exact" w:line="320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</w:rPr>
              <w:t>(2)</w:t>
            </w:r>
            <w:r>
              <w:rPr>
                <w:rFonts w:eastAsia="Times New Roman"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腎絲球過濾率（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eGFR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）計算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widowControl/>
              <w:snapToGrid w:val="false"/>
              <w:spacing w:lineRule="exact" w:line="320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</w:rPr>
              <w:t>(3)</w:t>
            </w:r>
            <w:r>
              <w:rPr>
                <w:rFonts w:eastAsia="Times New Roman" w:ascii="Times New Roman" w:hAnsi="Times New Roman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血液生化檢查：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GOT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、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GPT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、肌酸酐、血糖、血脂（總膽固醇、三酸甘油酯、高密度脂蛋白膽固醇、低密度脂蛋白膽固醇計算）。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widowControl/>
              <w:snapToGrid w:val="false"/>
              <w:spacing w:lineRule="exact" w:line="320"/>
              <w:ind w:left="310" w:hanging="294"/>
              <w:rPr>
                <w:rFonts w:ascii="新細明體" w:hAnsi="新細明體" w:cs="新細明體"/>
                <w:szCs w:val="24"/>
              </w:rPr>
            </w:pPr>
            <w:r>
              <w:rPr>
                <w:rFonts w:eastAsia="Times New Roman" w:ascii="Times New Roman" w:hAnsi="Times New Roman"/>
                <w:color w:val="000000"/>
                <w:szCs w:val="24"/>
                <w:lang w:val="zh-TW"/>
              </w:rPr>
              <w:t>(4)</w:t>
            </w:r>
            <w:r>
              <w:rPr>
                <w:rFonts w:eastAsia="Times New Roman" w:ascii="Times New Roman" w:hAnsi="Times New Roman"/>
                <w:color w:val="000000"/>
                <w:sz w:val="14"/>
                <w:szCs w:val="14"/>
                <w:lang w:val="zh-TW"/>
              </w:rPr>
              <w:t xml:space="preserve"> 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B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型肝炎表面抗原﹙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HBsAg</w:t>
            </w:r>
            <w:r>
              <w:rPr>
                <w:rFonts w:eastAsia="標楷體" w:cs="新細明體" w:ascii="Times New Roman" w:hAnsi="Times New Roman"/>
                <w:color w:val="000000"/>
                <w:szCs w:val="24"/>
              </w:rPr>
              <w:t>﹚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及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C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型肝炎抗體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(anti-HCV)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：民國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55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年或以後出生且滿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45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歲，可搭配成人預防保健服務終身接受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次檢查。</w:t>
            </w:r>
            <w:r>
              <w:rPr>
                <w:rFonts w:ascii="新細明體" w:hAnsi="新細明體" w:cs="新細明體" w:eastAsia="標楷體"/>
                <w:color w:val="000000"/>
                <w:szCs w:val="24"/>
                <w:lang w:val="zh-TW"/>
              </w:rPr>
              <w:t xml:space="preserve"> </w:t>
            </w:r>
          </w:p>
          <w:p>
            <w:pPr>
              <w:pStyle w:val="Normal"/>
              <w:widowControl/>
              <w:snapToGrid w:val="false"/>
              <w:spacing w:lineRule="exact" w:line="320"/>
              <w:ind w:left="240" w:hanging="240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4.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健康諮詢：戒菸、節酒、戒檳榔、規律運動、維持正常體重、健康飲食、事故傷害預防、口腔保健</w:t>
            </w:r>
            <w:r>
              <w:rPr>
                <w:rFonts w:ascii="新細明體" w:hAnsi="新細明體" w:cs="新細明體" w:eastAsia="標楷體"/>
                <w:color w:val="000000"/>
                <w:szCs w:val="24"/>
                <w:lang w:val="zh-TW"/>
              </w:rPr>
              <w:t xml:space="preserve"> </w:t>
            </w:r>
          </w:p>
        </w:tc>
      </w:tr>
      <w:tr>
        <w:trPr>
          <w:trHeight w:val="2153" w:hRule="atLeast"/>
        </w:trPr>
        <w:tc>
          <w:tcPr>
            <w:tcW w:w="12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65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歲以上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每年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次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25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</w:tr>
      <w:tr>
        <w:trPr>
          <w:trHeight w:val="2152" w:hRule="atLeast"/>
        </w:trPr>
        <w:tc>
          <w:tcPr>
            <w:tcW w:w="12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罹患小兒麻痺且年齡在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35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歲以上者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每年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次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25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</w:tr>
      <w:tr>
        <w:trPr>
          <w:trHeight w:val="2153" w:hRule="atLeast"/>
        </w:trPr>
        <w:tc>
          <w:tcPr>
            <w:tcW w:w="12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55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歲以上原住民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每年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次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25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</w:tr>
      <w:tr>
        <w:trPr/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子宮頸癌篩檢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30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歲以上婦女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每年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次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採檢費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 xml:space="preserve">: </w:t>
            </w:r>
          </w:p>
          <w:p>
            <w:pPr>
              <w:pStyle w:val="Normal"/>
              <w:widowControl/>
              <w:ind w:left="252" w:hanging="252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1. 30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歲以上每年乙次（醫療院所）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: 230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元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案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widowControl/>
              <w:ind w:left="252" w:hanging="252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2. 30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歲以上每年乙次（助產所）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: 120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元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案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widowControl/>
              <w:ind w:left="252" w:hanging="252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3. 30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歲以上每年乙次（衛生所執業，執業登記非屬婦產科或家庭醫學科之醫師）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: 175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元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案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檢驗費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 xml:space="preserve">: </w:t>
            </w:r>
          </w:p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200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元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案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1.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子宮頸抹片採樣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2.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骨盆腔檢查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3.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子宮頸細胞病理檢驗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</w:tr>
      <w:tr>
        <w:trPr>
          <w:trHeight w:val="640" w:hRule="atLeast"/>
        </w:trPr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乳癌篩檢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bCs/>
                <w:color w:val="000000"/>
                <w:szCs w:val="24"/>
              </w:rPr>
              <w:t>45</w:t>
            </w:r>
            <w:r>
              <w:rPr>
                <w:rFonts w:ascii="Times New Roman" w:hAnsi="Times New Roman" w:cs="新細明體" w:eastAsia="標楷體"/>
                <w:bCs/>
                <w:color w:val="000000"/>
                <w:szCs w:val="24"/>
              </w:rPr>
              <w:t>歲以上至未滿</w:t>
            </w:r>
            <w:r>
              <w:rPr>
                <w:rFonts w:eastAsia="標楷體" w:ascii="Times New Roman" w:hAnsi="Times New Roman"/>
                <w:bCs/>
                <w:color w:val="000000"/>
                <w:szCs w:val="24"/>
              </w:rPr>
              <w:t>70</w:t>
            </w:r>
            <w:r>
              <w:rPr>
                <w:rFonts w:ascii="Times New Roman" w:hAnsi="Times New Roman" w:cs="新細明體" w:eastAsia="標楷體"/>
                <w:bCs/>
                <w:color w:val="000000"/>
                <w:szCs w:val="24"/>
              </w:rPr>
              <w:t>歲之婦女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每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年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次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檢查費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 xml:space="preserve">: </w:t>
            </w:r>
          </w:p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1245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元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案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乳房攝影檢查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</w:tr>
      <w:tr>
        <w:trPr>
          <w:trHeight w:val="639" w:hRule="atLeast"/>
        </w:trPr>
        <w:tc>
          <w:tcPr>
            <w:tcW w:w="12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bCs/>
                <w:color w:val="000000"/>
                <w:szCs w:val="24"/>
              </w:rPr>
              <w:t>40</w:t>
            </w:r>
            <w:r>
              <w:rPr>
                <w:rFonts w:ascii="Times New Roman" w:hAnsi="Times New Roman" w:cs="新細明體" w:eastAsia="標楷體"/>
                <w:bCs/>
                <w:color w:val="000000"/>
                <w:szCs w:val="24"/>
              </w:rPr>
              <w:t>歲以上至未滿</w:t>
            </w:r>
            <w:r>
              <w:rPr>
                <w:rFonts w:eastAsia="標楷體" w:ascii="Times New Roman" w:hAnsi="Times New Roman"/>
                <w:bCs/>
                <w:color w:val="000000"/>
                <w:szCs w:val="24"/>
              </w:rPr>
              <w:t>45</w:t>
            </w:r>
            <w:r>
              <w:rPr>
                <w:rFonts w:ascii="Times New Roman" w:hAnsi="Times New Roman" w:cs="新細明體" w:eastAsia="標楷體"/>
                <w:bCs/>
                <w:color w:val="000000"/>
                <w:szCs w:val="24"/>
              </w:rPr>
              <w:t>歲且其母親、女兒、姊妹、祖母或外祖母曾患有乳癌之婦女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25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</w:tr>
      <w:tr>
        <w:trPr/>
        <w:tc>
          <w:tcPr>
            <w:tcW w:w="12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大腸癌篩檢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50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歲以上至未滿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75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歲者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每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年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次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檢查費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 xml:space="preserve">: </w:t>
            </w:r>
          </w:p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200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元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案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民眾異常追蹤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100-250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元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案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定量免疫法糞便潛血檢查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</w:tr>
      <w:tr>
        <w:trPr>
          <w:trHeight w:val="1145" w:hRule="atLeast"/>
        </w:trPr>
        <w:tc>
          <w:tcPr>
            <w:tcW w:w="12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口腔癌篩檢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30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歲以上有嚼檳榔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含已戒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)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或吸菸習慣者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每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2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年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1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次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檢查費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 xml:space="preserve">: </w:t>
            </w:r>
          </w:p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130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元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案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服務品質費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20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元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/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案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25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口腔黏膜檢查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</w:tr>
      <w:tr>
        <w:trPr>
          <w:trHeight w:val="1558" w:hRule="atLeast"/>
        </w:trPr>
        <w:tc>
          <w:tcPr>
            <w:tcW w:w="12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napToGrid w:val="false"/>
              <w:spacing w:lineRule="exact" w:line="320"/>
              <w:jc w:val="both"/>
              <w:rPr>
                <w:rFonts w:ascii="新細明體" w:hAnsi="新細明體" w:cs="新細明體"/>
                <w:szCs w:val="24"/>
              </w:rPr>
            </w:pPr>
            <w:r>
              <w:rPr>
                <w:rFonts w:eastAsia="標楷體" w:ascii="Times New Roman" w:hAnsi="Times New Roman"/>
                <w:color w:val="000000"/>
                <w:szCs w:val="24"/>
              </w:rPr>
              <w:t>18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歲以上至未滿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30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歲有嚼檳榔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(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含已戒</w:t>
            </w:r>
            <w:r>
              <w:rPr>
                <w:rFonts w:eastAsia="標楷體" w:ascii="Times New Roman" w:hAnsi="Times New Roman"/>
                <w:color w:val="000000"/>
                <w:szCs w:val="24"/>
              </w:rPr>
              <w:t>)</w:t>
            </w:r>
            <w:r>
              <w:rPr>
                <w:rFonts w:ascii="Times New Roman" w:hAnsi="Times New Roman" w:cs="新細明體" w:eastAsia="標楷體"/>
                <w:color w:val="000000"/>
                <w:szCs w:val="24"/>
              </w:rPr>
              <w:t>習慣之原住民</w:t>
            </w:r>
            <w:r>
              <w:rPr>
                <w:rFonts w:ascii="新細明體" w:hAnsi="新細明體" w:cs="新細明體" w:eastAsia="標楷體"/>
                <w:color w:val="000000"/>
                <w:szCs w:val="24"/>
              </w:rPr>
              <w:t xml:space="preserve"> </w:t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1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  <w:tc>
          <w:tcPr>
            <w:tcW w:w="254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rPr>
                <w:rFonts w:ascii="新細明體" w:hAnsi="新細明體" w:cs="新細明體"/>
                <w:szCs w:val="24"/>
              </w:rPr>
            </w:pPr>
            <w:r>
              <w:rPr>
                <w:rFonts w:cs="新細明體" w:ascii="新細明體" w:hAnsi="新細明體"/>
                <w:szCs w:val="24"/>
              </w:rPr>
            </w:r>
          </w:p>
        </w:tc>
      </w:tr>
    </w:tbl>
    <w:p>
      <w:pPr>
        <w:pStyle w:val="ListParagraph"/>
        <w:ind w:left="960" w:hanging="0"/>
        <w:jc w:val="both"/>
        <w:rPr>
          <w:rFonts w:ascii="標楷體" w:hAnsi="標楷體" w:eastAsia="標楷體"/>
          <w:sz w:val="28"/>
          <w:szCs w:val="28"/>
        </w:rPr>
      </w:pPr>
      <w:r>
        <w:rPr>
          <w:rFonts w:eastAsia="標楷體" w:ascii="標楷體" w:hAnsi="標楷體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Calibri"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標楷體">
    <w:charset w:val="88"/>
    <w:family w:val="roman"/>
    <w:pitch w:val="variable"/>
  </w:font>
  <w:font w:name="Times New Roman">
    <w:charset w:val="88"/>
    <w:family w:val="roman"/>
    <w:pitch w:val="variable"/>
  </w:font>
  <w:font w:name="新細明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8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TW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細明體" w:cs="" w:asciiTheme="minorHAnsi" w:cstheme="minorBidi" w:eastAsiaTheme="minorEastAsia" w:hAnsiTheme="minorHAnsi"/>
        <w:sz w:val="24"/>
        <w:szCs w:val="22"/>
        <w:lang w:val="en-US" w:eastAsia="zh-TW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7a2b"/>
    <w:pPr>
      <w:widowControl w:val="false"/>
      <w:bidi w:val="0"/>
      <w:jc w:val="left"/>
    </w:pPr>
    <w:rPr>
      <w:rFonts w:ascii="Calibri" w:hAnsi="Calibri" w:eastAsia="新細明體" w:cs="Times New Roman" w:asciiTheme="minorHAnsi" w:eastAsiaTheme="minorEastAsia" w:hAnsiTheme="minorHAnsi"/>
      <w:color w:val="auto"/>
      <w:sz w:val="24"/>
      <w:szCs w:val="22"/>
      <w:lang w:val="en-US" w:eastAsia="zh-TW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頁首 字元"/>
    <w:basedOn w:val="DefaultParagraphFont"/>
    <w:link w:val="a4"/>
    <w:uiPriority w:val="99"/>
    <w:qFormat/>
    <w:rsid w:val="006d1528"/>
    <w:rPr>
      <w:rFonts w:ascii="Calibri" w:hAnsi="Calibri" w:eastAsia="新細明體" w:cs="Times New Roman"/>
      <w:sz w:val="20"/>
      <w:szCs w:val="20"/>
    </w:rPr>
  </w:style>
  <w:style w:type="character" w:styleId="Style15" w:customStyle="1">
    <w:name w:val="頁尾 字元"/>
    <w:basedOn w:val="DefaultParagraphFont"/>
    <w:link w:val="a6"/>
    <w:uiPriority w:val="99"/>
    <w:qFormat/>
    <w:rsid w:val="006d1528"/>
    <w:rPr>
      <w:rFonts w:ascii="Calibri" w:hAnsi="Calibri" w:eastAsia="新細明體" w:cs="Times New Roman"/>
      <w:sz w:val="20"/>
      <w:szCs w:val="20"/>
    </w:rPr>
  </w:style>
  <w:style w:type="paragraph" w:styleId="Style16">
    <w:name w:val="標題"/>
    <w:basedOn w:val="Normal"/>
    <w:next w:val="Style17"/>
    <w:qFormat/>
    <w:pPr>
      <w:keepNext/>
      <w:spacing w:before="240" w:after="120"/>
    </w:pPr>
    <w:rPr>
      <w:rFonts w:ascii="Liberation Sans" w:hAnsi="Liberation Sans" w:eastAsia="微軟正黑體" w:cs="Arial Unicode M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 Unicode M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8f7a2b"/>
    <w:pPr>
      <w:ind w:left="480" w:hanging="0"/>
    </w:pPr>
    <w:rPr/>
  </w:style>
  <w:style w:type="paragraph" w:styleId="Style21">
    <w:name w:val="Header"/>
    <w:basedOn w:val="Normal"/>
    <w:link w:val="a5"/>
    <w:uiPriority w:val="99"/>
    <w:unhideWhenUsed/>
    <w:rsid w:val="006d1528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2">
    <w:name w:val="Footer"/>
    <w:basedOn w:val="Normal"/>
    <w:link w:val="a7"/>
    <w:uiPriority w:val="99"/>
    <w:unhideWhenUsed/>
    <w:rsid w:val="006d1528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LibreOffice/5.1.5.2$Windows_X86_64 LibreOffice_project/7a864d8825610a8c07cfc3bc01dd4fce6a9447e5</Application>
  <Pages>2</Pages>
  <Words>147</Words>
  <CharactersWithSpaces>840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2016-12-12T02:45:00Z</dcterms:created>
  <dc:creator>洪寶蓮</dc:creator>
  <dc:description/>
  <dc:language>zh-TW</dc:language>
  <cp:lastModifiedBy>總發文張雨龍</cp:lastModifiedBy>
  <dcterms:modified xsi:type="dcterms:W3CDTF">2016-12-27T03:49:00Z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