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4541" w14:textId="7630AFC8" w:rsidR="007447AF" w:rsidRDefault="007447AF" w:rsidP="007447AF">
      <w:pPr>
        <w:jc w:val="center"/>
        <w:rPr>
          <w:rFonts w:ascii="標楷體" w:eastAsia="標楷體" w:hAnsi="標楷體"/>
          <w:color w:val="000000" w:themeColor="text1"/>
          <w:sz w:val="22"/>
          <w:szCs w:val="26"/>
        </w:rPr>
      </w:pPr>
      <w:bookmarkStart w:id="0" w:name="_GoBack"/>
      <w:bookmarkEnd w:id="0"/>
      <w:r>
        <w:rPr>
          <w:rFonts w:ascii="標楷體" w:eastAsia="標楷體" w:hAnsi="標楷體" w:hint="eastAsia"/>
          <w:color w:val="000000" w:themeColor="text1"/>
          <w:sz w:val="32"/>
          <w:szCs w:val="40"/>
        </w:rPr>
        <w:t>彰化縣青少年南北管實驗樂團團員招考簡章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w:t>
      </w:r>
      <w:r>
        <w:rPr>
          <w:rFonts w:eastAsia="標楷體" w:hint="eastAsia"/>
          <w:color w:val="000000" w:themeColor="text1"/>
          <w:sz w:val="26"/>
          <w:szCs w:val="26"/>
        </w:rPr>
        <w:lastRenderedPageBreak/>
        <w:t>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時間：111年7月1日至7月15日。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請按照網路報名程序確實</w:t>
      </w:r>
      <w:r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r w:rsidRPr="007447AF">
        <w:rPr>
          <w:rFonts w:ascii="標楷體" w:eastAsia="標楷體" w:hAnsi="標楷體" w:hint="eastAsia"/>
          <w:color w:val="000000" w:themeColor="text1"/>
          <w:sz w:val="26"/>
          <w:szCs w:val="26"/>
        </w:rPr>
        <w:t>線上報名網址：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lastRenderedPageBreak/>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w:t>
      </w:r>
      <w:r w:rsidRPr="007447AF">
        <w:rPr>
          <w:rFonts w:ascii="標楷體" w:eastAsia="標楷體" w:hint="eastAsia"/>
          <w:color w:val="000000" w:themeColor="text1"/>
          <w:sz w:val="26"/>
          <w:szCs w:val="26"/>
        </w:rPr>
        <w:lastRenderedPageBreak/>
        <w:t>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lastRenderedPageBreak/>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2B086" w14:textId="77777777" w:rsidR="00916220" w:rsidRDefault="00916220" w:rsidP="005B2F6D">
      <w:r>
        <w:separator/>
      </w:r>
    </w:p>
  </w:endnote>
  <w:endnote w:type="continuationSeparator" w:id="0">
    <w:p w14:paraId="60C1F950" w14:textId="77777777" w:rsidR="00916220" w:rsidRDefault="00916220"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86927"/>
      <w:docPartObj>
        <w:docPartGallery w:val="Page Numbers (Bottom of Page)"/>
        <w:docPartUnique/>
      </w:docPartObj>
    </w:sdtPr>
    <w:sdtEndPr/>
    <w:sdtContent>
      <w:p w14:paraId="6D69FCC7" w14:textId="31865586" w:rsidR="005C0D97" w:rsidRDefault="005C0D97">
        <w:pPr>
          <w:pStyle w:val="a6"/>
          <w:jc w:val="center"/>
        </w:pPr>
        <w:r>
          <w:fldChar w:fldCharType="begin"/>
        </w:r>
        <w:r>
          <w:instrText>PAGE   \* MERGEFORMAT</w:instrText>
        </w:r>
        <w:r>
          <w:fldChar w:fldCharType="separate"/>
        </w:r>
        <w:r w:rsidR="00C7478B" w:rsidRPr="00C7478B">
          <w:rPr>
            <w:noProof/>
            <w:lang w:val="zh-TW"/>
          </w:rPr>
          <w:t>1</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43FF" w14:textId="77777777" w:rsidR="00916220" w:rsidRDefault="00916220" w:rsidP="005B2F6D">
      <w:r>
        <w:separator/>
      </w:r>
    </w:p>
  </w:footnote>
  <w:footnote w:type="continuationSeparator" w:id="0">
    <w:p w14:paraId="386483E7" w14:textId="77777777" w:rsidR="00916220" w:rsidRDefault="00916220" w:rsidP="005B2F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10DDF"/>
    <w:rsid w:val="003131FC"/>
    <w:rsid w:val="00364B5F"/>
    <w:rsid w:val="00372D13"/>
    <w:rsid w:val="00375394"/>
    <w:rsid w:val="00380360"/>
    <w:rsid w:val="00380560"/>
    <w:rsid w:val="0040612A"/>
    <w:rsid w:val="004B599D"/>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16220"/>
    <w:rsid w:val="00934332"/>
    <w:rsid w:val="009713A8"/>
    <w:rsid w:val="009C52BF"/>
    <w:rsid w:val="009E6E44"/>
    <w:rsid w:val="009F1CC8"/>
    <w:rsid w:val="00A00BCC"/>
    <w:rsid w:val="00A04094"/>
    <w:rsid w:val="00AE130A"/>
    <w:rsid w:val="00AE1511"/>
    <w:rsid w:val="00AE4FC5"/>
    <w:rsid w:val="00B05586"/>
    <w:rsid w:val="00B1131E"/>
    <w:rsid w:val="00B14E7D"/>
    <w:rsid w:val="00B73A01"/>
    <w:rsid w:val="00C06BA6"/>
    <w:rsid w:val="00C135E2"/>
    <w:rsid w:val="00C62CD3"/>
    <w:rsid w:val="00C70C93"/>
    <w:rsid w:val="00C7478B"/>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8841-6427-4EDE-933D-5829416A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user</cp:lastModifiedBy>
  <cp:revision>2</cp:revision>
  <cp:lastPrinted>2022-05-06T06:21:00Z</cp:lastPrinted>
  <dcterms:created xsi:type="dcterms:W3CDTF">2022-06-08T03:28:00Z</dcterms:created>
  <dcterms:modified xsi:type="dcterms:W3CDTF">2022-06-08T03:28:00Z</dcterms:modified>
</cp:coreProperties>
</file>