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D5" w:rsidRPr="00316E2E" w:rsidRDefault="00E67CD5" w:rsidP="00E67CD5">
      <w:pPr>
        <w:pStyle w:val="1"/>
        <w:spacing w:before="0"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Toc479600782"/>
      <w:bookmarkStart w:id="1" w:name="_GoBack"/>
      <w:bookmarkEnd w:id="1"/>
      <w:r w:rsidRPr="00316E2E">
        <w:rPr>
          <w:rFonts w:ascii="標楷體" w:eastAsia="標楷體" w:hAnsi="標楷體" w:hint="eastAsia"/>
          <w:sz w:val="28"/>
          <w:szCs w:val="28"/>
        </w:rPr>
        <w:t>彰化縣反映十二年國民基本教育課程綱要實施疑難問題與建議事項</w:t>
      </w:r>
      <w:proofErr w:type="gramStart"/>
      <w:r w:rsidRPr="00316E2E">
        <w:rPr>
          <w:rFonts w:ascii="標楷體" w:eastAsia="標楷體" w:hAnsi="標楷體" w:hint="eastAsia"/>
          <w:sz w:val="28"/>
          <w:szCs w:val="28"/>
        </w:rPr>
        <w:t>研覆彙</w:t>
      </w:r>
      <w:proofErr w:type="gramEnd"/>
      <w:r w:rsidRPr="00316E2E">
        <w:rPr>
          <w:rFonts w:ascii="標楷體" w:eastAsia="標楷體" w:hAnsi="標楷體" w:hint="eastAsia"/>
          <w:sz w:val="28"/>
          <w:szCs w:val="28"/>
        </w:rPr>
        <w:t>整表</w:t>
      </w:r>
      <w:bookmarkEnd w:id="0"/>
    </w:p>
    <w:p w:rsidR="00E67CD5" w:rsidRPr="00413B30" w:rsidRDefault="00E67CD5" w:rsidP="00E67CD5">
      <w:pPr>
        <w:spacing w:line="360" w:lineRule="auto"/>
        <w:jc w:val="right"/>
        <w:rPr>
          <w:rFonts w:ascii="標楷體" w:eastAsia="標楷體" w:hAnsi="標楷體"/>
          <w:szCs w:val="24"/>
        </w:rPr>
      </w:pPr>
      <w:proofErr w:type="gramStart"/>
      <w:r w:rsidRPr="00413B30">
        <w:rPr>
          <w:rFonts w:ascii="標楷體" w:eastAsia="標楷體" w:hAnsi="標楷體" w:hint="eastAsia"/>
          <w:szCs w:val="24"/>
        </w:rPr>
        <w:t>研</w:t>
      </w:r>
      <w:proofErr w:type="gramEnd"/>
      <w:r w:rsidRPr="00413B30">
        <w:rPr>
          <w:rFonts w:ascii="標楷體" w:eastAsia="標楷體" w:hAnsi="標楷體" w:hint="eastAsia"/>
          <w:szCs w:val="24"/>
        </w:rPr>
        <w:t>覆時間：106年4月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5"/>
        <w:gridCol w:w="3458"/>
        <w:gridCol w:w="4323"/>
        <w:gridCol w:w="5678"/>
      </w:tblGrid>
      <w:tr w:rsidR="00E67CD5" w:rsidRPr="001B3559" w:rsidTr="008510C1">
        <w:trPr>
          <w:tblHeader/>
        </w:trPr>
        <w:tc>
          <w:tcPr>
            <w:tcW w:w="252" w:type="pct"/>
            <w:shd w:val="clear" w:color="auto" w:fill="auto"/>
            <w:vAlign w:val="center"/>
          </w:tcPr>
          <w:p w:rsidR="00E67CD5" w:rsidRPr="001B3559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E67CD5" w:rsidRPr="001B3559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15A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疑難問題描述</w:t>
            </w:r>
          </w:p>
        </w:tc>
        <w:tc>
          <w:tcPr>
            <w:tcW w:w="1525" w:type="pct"/>
            <w:shd w:val="clear" w:color="auto" w:fill="auto"/>
          </w:tcPr>
          <w:p w:rsidR="00E67CD5" w:rsidRPr="001B3559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15A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疑難問題補充說明與建議事項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E67CD5" w:rsidRPr="001B3559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覆說明</w:t>
            </w:r>
          </w:p>
        </w:tc>
      </w:tr>
      <w:tr w:rsidR="00E67CD5" w:rsidRPr="001B3559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20" w:type="pct"/>
          </w:tcPr>
          <w:p w:rsidR="00E67CD5" w:rsidRPr="00987FDB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4536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針對十二年國民基本教育課程計畫及排課部分，其中依總綱規定應培養學生具有核心素養，而彈性課程則可讓學校選擇1.「統整性主題/專題/議題探究課程」、2.社團活動與技藝課程、3.特殊需求領域課程、4.其他類課程進行規劃。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有關核心素養應如何實施評鑑。</w:t>
            </w:r>
          </w:p>
        </w:tc>
        <w:tc>
          <w:tcPr>
            <w:tcW w:w="1525" w:type="pct"/>
          </w:tcPr>
          <w:p w:rsidR="00E67CD5" w:rsidRPr="00987FDB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pct"/>
          </w:tcPr>
          <w:p w:rsidR="00E67CD5" w:rsidRDefault="00E67CD5" w:rsidP="008510C1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核心素養的評量應透過多元方式(如實作評量、真實評量、成長檔等)進行。不同形式的評量可能在本質上適合用來評量不同的核心素養指標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，國教</w:t>
            </w:r>
            <w:r w:rsidRPr="001B35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院後續將提供評量範例供參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  <w:p w:rsidR="00E67CD5" w:rsidRPr="00F50988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7CD5" w:rsidRPr="001B3559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220" w:type="pct"/>
          </w:tcPr>
          <w:p w:rsidR="00E67CD5" w:rsidRPr="00F50988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國中自然領域及英語領域節數縮減，若教學內容仍維持，則將造成學校有教授進度壓力。</w:t>
            </w:r>
          </w:p>
        </w:tc>
        <w:tc>
          <w:tcPr>
            <w:tcW w:w="1525" w:type="pct"/>
          </w:tcPr>
          <w:p w:rsidR="00E67CD5" w:rsidRPr="001B3559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pct"/>
          </w:tcPr>
          <w:p w:rsidR="00E67CD5" w:rsidRDefault="00E67CD5" w:rsidP="00E67CD5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自然科學領域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新課綱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，配合3至12年課程連貫，已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適當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調整學習內容至高中階段，並以學習表現作為探究實作的引導，以平衡知識技能與情意等面向。</w:t>
            </w:r>
          </w:p>
          <w:p w:rsidR="00E67CD5" w:rsidRPr="00F50988" w:rsidRDefault="00E67CD5" w:rsidP="00E67CD5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F5098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英語文新</w:t>
            </w:r>
            <w:proofErr w:type="gramStart"/>
            <w:r w:rsidRPr="00F5098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課綱除</w:t>
            </w:r>
            <w:proofErr w:type="gramEnd"/>
            <w:r w:rsidRPr="00F5098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調整學習內容外，鼓勵英語文教師與其他領域教師共同規劃彈性學習課程，如包含統整性主題/專題/議題探究課程、社團活動、其他類課程（學生自主學習等課程）。</w:t>
            </w:r>
            <w:proofErr w:type="gramStart"/>
            <w:r w:rsidRPr="00F5098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此外，</w:t>
            </w:r>
            <w:proofErr w:type="gramEnd"/>
            <w:r w:rsidRPr="00F5098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英語文教師宜培養學生自主學習的習慣，增加課外主動學習的時間。</w:t>
            </w:r>
          </w:p>
        </w:tc>
      </w:tr>
      <w:tr w:rsidR="00E67CD5" w:rsidRPr="001B3559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220" w:type="pct"/>
          </w:tcPr>
          <w:p w:rsidR="00E67CD5" w:rsidRPr="001B3559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因彈性學習課程進行跨領域/科目之協同教學，如：英文老師與科技老師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共同提出「國際科技新知」彈性課程，經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學校課發會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通過，由英文老師教授英文期刊雜誌，科技老師講解實做部分，一學期若20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(節)，英語與科技老師各別授課10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(節)，教師授課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節數該如何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計算？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對此，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建請教育部能說明清楚。</w:t>
            </w:r>
          </w:p>
        </w:tc>
        <w:tc>
          <w:tcPr>
            <w:tcW w:w="1525" w:type="pct"/>
          </w:tcPr>
          <w:p w:rsidR="00E67CD5" w:rsidRPr="001B3559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pct"/>
          </w:tcPr>
          <w:p w:rsidR="00E67CD5" w:rsidRPr="001B3559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185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詳如共通性問題</w:t>
            </w:r>
            <w:r w:rsidRPr="00481851">
              <w:rPr>
                <w:rFonts w:ascii="標楷體" w:eastAsia="標楷體" w:hAnsi="標楷體" w:cs="Times New Roman" w:hint="eastAsia"/>
                <w:sz w:val="20"/>
                <w:szCs w:val="20"/>
              </w:rPr>
              <w:t>項次</w:t>
            </w:r>
            <w:proofErr w:type="gramStart"/>
            <w:r w:rsidRPr="0048185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48185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67CD5" w:rsidRPr="001B3559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220" w:type="pct"/>
          </w:tcPr>
          <w:p w:rsidR="00E67CD5" w:rsidRPr="00724CEF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高中端缺乏第二外語群、資訊學群、建築與設計學群師資，是目前學生學習地圖上最大的缺口。請教育部協調邀請大學端開設進修管道，並為校內有意長期配課的教師進行增能研習。</w:t>
            </w:r>
          </w:p>
        </w:tc>
        <w:tc>
          <w:tcPr>
            <w:tcW w:w="1525" w:type="pct"/>
          </w:tcPr>
          <w:p w:rsidR="00E67CD5" w:rsidRPr="00603B76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pct"/>
          </w:tcPr>
          <w:p w:rsidR="00E67CD5" w:rsidRPr="001B3559" w:rsidRDefault="00E67CD5" w:rsidP="00E67CD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教育部已建立師資供需評估機制，定期召開會議，邀請主管教育行政機關、國教署及熟悉各教育階段教學現場代表與會。就國教署提供因應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新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在各師資類科、領域(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群科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)科師資之教師需求與分析資料，參酌相關重要數據(包括各師資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類科領證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師資數、儲備師資數、教師證發證數量、公立教師甄選辦理情形與離退職教師數等)，整體評估師資供需，對於評估為師資不足類科，將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協調師培大學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專案培育，亦將針對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新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調整之部分加強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研擬師培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因應策略。</w:t>
            </w:r>
          </w:p>
          <w:p w:rsidR="00E67CD5" w:rsidRPr="001B3559" w:rsidRDefault="00E67CD5" w:rsidP="00E67CD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為因應高中第二外語師資需求，設有第二外語相關語種專門課程，目前計有10所師資培育之大學進行6語種（日、法、德、西、俄、韓）之師資培育。</w:t>
            </w:r>
          </w:p>
          <w:p w:rsidR="00E67CD5" w:rsidRPr="001B3559" w:rsidRDefault="00E67CD5" w:rsidP="00E67CD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有關設計群部分，目前計有13所師資培育之大學進行培育設計群相關科別（廣告設計、美工、多媒體設計等）之師資。</w:t>
            </w:r>
          </w:p>
          <w:p w:rsidR="00E67CD5" w:rsidRPr="001B3559" w:rsidRDefault="00E67CD5" w:rsidP="00E67CD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有關建築科部分，目前計有6所師資培育之大學進行培育建築科之師資。</w:t>
            </w:r>
          </w:p>
          <w:p w:rsidR="00E67CD5" w:rsidRDefault="00E67CD5" w:rsidP="00E67CD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目前計有18所師資培育之大學進行培育資訊科技概論科之師資。</w:t>
            </w:r>
          </w:p>
          <w:p w:rsidR="00E67CD5" w:rsidRPr="00943B0A" w:rsidRDefault="00E67CD5" w:rsidP="00E67CD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43B0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有關協調師資培育之大學開設進修管道一節，請彰化縣政府提供該縣教師進修需求數據，</w:t>
            </w:r>
            <w:proofErr w:type="gramStart"/>
            <w:r w:rsidRPr="00943B0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俾</w:t>
            </w:r>
            <w:proofErr w:type="gramEnd"/>
            <w:r w:rsidRPr="00943B0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供本部協調開班</w:t>
            </w:r>
            <w:proofErr w:type="gramStart"/>
            <w:r w:rsidRPr="00943B0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之參據</w:t>
            </w:r>
            <w:proofErr w:type="gramEnd"/>
            <w:r w:rsidRPr="00943B0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67CD5" w:rsidRPr="001B3559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220" w:type="pct"/>
          </w:tcPr>
          <w:p w:rsidR="00E67CD5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因科技領域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領綱未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公布，學校端無法調整現有教師參加第二專長進修；又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受到少子化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影響，學校端無法輕易增加師資。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爰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此，造成科技領域師資失衡，對於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未來課綱實施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時，會造成該領域師資缺乏，只能以非專長授課。</w:t>
            </w:r>
          </w:p>
          <w:p w:rsidR="00E67CD5" w:rsidRPr="00603B76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val="zh-TW"/>
              </w:rPr>
            </w:pPr>
          </w:p>
        </w:tc>
        <w:tc>
          <w:tcPr>
            <w:tcW w:w="1525" w:type="pct"/>
          </w:tcPr>
          <w:p w:rsidR="00E67CD5" w:rsidRDefault="00E67CD5" w:rsidP="00E67CD5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sz w:val="20"/>
                <w:szCs w:val="20"/>
              </w:rPr>
              <w:t>有關科技領域，請教育部能辦理第二專長增能或在職進修，協助教取得合格教師資格。</w:t>
            </w:r>
          </w:p>
          <w:p w:rsidR="00E67CD5" w:rsidRPr="005A1C23" w:rsidRDefault="00E67CD5" w:rsidP="00E67CD5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A1C23">
              <w:rPr>
                <w:rFonts w:ascii="標楷體" w:eastAsia="標楷體" w:hAnsi="標楷體" w:cs="Times New Roman"/>
                <w:sz w:val="20"/>
                <w:szCs w:val="20"/>
              </w:rPr>
              <w:t>請教育部協調邀請大學端開設進修管道，並為校內有意長期配課的教師進行增能研習</w:t>
            </w:r>
          </w:p>
        </w:tc>
        <w:tc>
          <w:tcPr>
            <w:tcW w:w="2003" w:type="pct"/>
          </w:tcPr>
          <w:p w:rsidR="00E67CD5" w:rsidRPr="00D032E2" w:rsidRDefault="00E67CD5" w:rsidP="008510C1">
            <w:pPr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8185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詳如共通性問題</w:t>
            </w:r>
            <w:r w:rsidRPr="00481851">
              <w:rPr>
                <w:rFonts w:ascii="標楷體" w:eastAsia="標楷體" w:hAnsi="標楷體" w:cs="Times New Roman" w:hint="eastAsia"/>
                <w:sz w:val="20"/>
                <w:szCs w:val="20"/>
              </w:rPr>
              <w:t>項次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  <w:r w:rsidRPr="0048185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67CD5" w:rsidRPr="00FE2640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220" w:type="pct"/>
          </w:tcPr>
          <w:p w:rsidR="00E67CD5" w:rsidRPr="001B3559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新住民語言開課師資不足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，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建議中央能建立統一師資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人才庫供學校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查詢。</w:t>
            </w:r>
          </w:p>
        </w:tc>
        <w:tc>
          <w:tcPr>
            <w:tcW w:w="1525" w:type="pct"/>
          </w:tcPr>
          <w:p w:rsidR="00E67CD5" w:rsidRPr="001B3559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pct"/>
          </w:tcPr>
          <w:p w:rsidR="00E67CD5" w:rsidRPr="00FE2640" w:rsidRDefault="00E67CD5" w:rsidP="008510C1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85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詳如共通性問題</w:t>
            </w:r>
            <w:r w:rsidRPr="00481851">
              <w:rPr>
                <w:rFonts w:ascii="標楷體" w:eastAsia="標楷體" w:hAnsi="標楷體" w:cs="Times New Roman" w:hint="eastAsia"/>
                <w:sz w:val="20"/>
                <w:szCs w:val="20"/>
              </w:rPr>
              <w:t>項次</w:t>
            </w:r>
            <w:proofErr w:type="gramStart"/>
            <w:r w:rsidRPr="0048185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三</w:t>
            </w:r>
            <w:proofErr w:type="gramEnd"/>
            <w:r w:rsidRPr="0048185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67CD5" w:rsidRPr="00FE2640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1220" w:type="pct"/>
          </w:tcPr>
          <w:p w:rsidR="00E67CD5" w:rsidRPr="001B3559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針對</w:t>
            </w:r>
            <w:proofErr w:type="gramStart"/>
            <w:r w:rsidRPr="00245624">
              <w:rPr>
                <w:rFonts w:ascii="標楷體" w:eastAsia="標楷體" w:hAnsi="標楷體" w:cs="Times New Roman"/>
                <w:sz w:val="20"/>
                <w:szCs w:val="20"/>
              </w:rPr>
              <w:t>觀議課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部分，目前已有教育部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所函頒實施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原則，但對於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觀議課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部分，因為總綱新增加項目，故不論學校或縣府皆在執行上有所疑慮。</w:t>
            </w:r>
          </w:p>
          <w:p w:rsidR="00E67CD5" w:rsidRPr="001B3559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</w:tcPr>
          <w:p w:rsidR="00E67CD5" w:rsidRPr="00724CEF" w:rsidRDefault="00E67CD5" w:rsidP="00E67CD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24CEF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校長及教師</w:t>
            </w:r>
            <w:proofErr w:type="gramStart"/>
            <w:r w:rsidRPr="00724CEF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公開觀課部分</w:t>
            </w:r>
            <w:proofErr w:type="gramEnd"/>
            <w:r w:rsidRPr="00724CEF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，如何進行的規範及配套措施。</w:t>
            </w:r>
          </w:p>
          <w:p w:rsidR="00E67CD5" w:rsidRPr="00724CEF" w:rsidRDefault="00E67CD5" w:rsidP="00E67C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24CEF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目前僅有實施原則，仍需要實施細則才能更詳細的執行。</w:t>
            </w:r>
          </w:p>
        </w:tc>
        <w:tc>
          <w:tcPr>
            <w:tcW w:w="2003" w:type="pct"/>
          </w:tcPr>
          <w:p w:rsidR="00E67CD5" w:rsidRPr="00D032E2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185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詳如共通性問題</w:t>
            </w:r>
            <w:r w:rsidRPr="00481851">
              <w:rPr>
                <w:rFonts w:ascii="標楷體" w:eastAsia="標楷體" w:hAnsi="標楷體" w:cs="Times New Roman" w:hint="eastAsia"/>
                <w:sz w:val="20"/>
                <w:szCs w:val="20"/>
              </w:rPr>
              <w:t>項次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  <w:r w:rsidRPr="0048185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67CD5" w:rsidRPr="00FE2640" w:rsidTr="008510C1">
        <w:tc>
          <w:tcPr>
            <w:tcW w:w="252" w:type="pct"/>
          </w:tcPr>
          <w:p w:rsidR="00E67CD5" w:rsidRDefault="00E67CD5" w:rsidP="008510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1220" w:type="pct"/>
          </w:tcPr>
          <w:p w:rsidR="00E67CD5" w:rsidRPr="001B3559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針對十二年國民基本教育課程綱要新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增加科技領域課程，因自九年一貫課程實施後，原工藝教室變更為一般教室，現要實施科技領域中的生活科技課程，學校會重新使用到專科教室（如工藝教室），</w:t>
            </w:r>
            <w:proofErr w:type="gramStart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爰</w:t>
            </w:r>
            <w:proofErr w:type="gramEnd"/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此，本府要在不到二年時間，督促學校逐步將該教室重新規劃及安排，有執行上困難。</w:t>
            </w:r>
          </w:p>
        </w:tc>
        <w:tc>
          <w:tcPr>
            <w:tcW w:w="1525" w:type="pct"/>
          </w:tcPr>
          <w:p w:rsidR="00E67CD5" w:rsidRPr="001B3559" w:rsidRDefault="00E67CD5" w:rsidP="008510C1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有關科技領域的所需專科教室，請教育部能給予</w:t>
            </w:r>
            <w:r w:rsidRPr="001B355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地方政府經費支援，以保障學生的受教權。</w:t>
            </w:r>
          </w:p>
        </w:tc>
        <w:tc>
          <w:tcPr>
            <w:tcW w:w="2003" w:type="pct"/>
          </w:tcPr>
          <w:p w:rsidR="00E67CD5" w:rsidRPr="003B6C3F" w:rsidRDefault="00E67CD5" w:rsidP="008510C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185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詳如共通性問題</w:t>
            </w:r>
            <w:r w:rsidRPr="00481851">
              <w:rPr>
                <w:rFonts w:ascii="標楷體" w:eastAsia="標楷體" w:hAnsi="標楷體" w:cs="Times New Roman" w:hint="eastAsia"/>
                <w:sz w:val="20"/>
                <w:szCs w:val="20"/>
              </w:rPr>
              <w:t>項次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  <w:r w:rsidRPr="0048185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:rsidR="006B76A4" w:rsidRPr="00E67CD5" w:rsidRDefault="006B76A4"/>
    <w:sectPr w:rsidR="006B76A4" w:rsidRPr="00E67CD5" w:rsidSect="00E67CD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E4" w:rsidRDefault="00006BE4" w:rsidP="00E67CD5">
      <w:r>
        <w:separator/>
      </w:r>
    </w:p>
  </w:endnote>
  <w:endnote w:type="continuationSeparator" w:id="0">
    <w:p w:rsidR="00006BE4" w:rsidRDefault="00006BE4" w:rsidP="00E6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195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67CD5" w:rsidRPr="00E67CD5" w:rsidRDefault="00E67CD5">
        <w:pPr>
          <w:pStyle w:val="a8"/>
          <w:jc w:val="center"/>
          <w:rPr>
            <w:rFonts w:ascii="Times New Roman" w:hAnsi="Times New Roman" w:cs="Times New Roman"/>
          </w:rPr>
        </w:pPr>
        <w:r w:rsidRPr="00E67CD5">
          <w:rPr>
            <w:rFonts w:ascii="Times New Roman" w:hAnsi="Times New Roman" w:cs="Times New Roman"/>
          </w:rPr>
          <w:fldChar w:fldCharType="begin"/>
        </w:r>
        <w:r w:rsidRPr="00E67CD5">
          <w:rPr>
            <w:rFonts w:ascii="Times New Roman" w:hAnsi="Times New Roman" w:cs="Times New Roman"/>
          </w:rPr>
          <w:instrText>PAGE   \* MERGEFORMAT</w:instrText>
        </w:r>
        <w:r w:rsidRPr="00E67CD5">
          <w:rPr>
            <w:rFonts w:ascii="Times New Roman" w:hAnsi="Times New Roman" w:cs="Times New Roman"/>
          </w:rPr>
          <w:fldChar w:fldCharType="separate"/>
        </w:r>
        <w:r w:rsidR="00F44DF4" w:rsidRPr="00F44DF4">
          <w:rPr>
            <w:rFonts w:ascii="Times New Roman" w:hAnsi="Times New Roman" w:cs="Times New Roman"/>
            <w:noProof/>
            <w:lang w:val="zh-TW"/>
          </w:rPr>
          <w:t>1</w:t>
        </w:r>
        <w:r w:rsidRPr="00E67CD5">
          <w:rPr>
            <w:rFonts w:ascii="Times New Roman" w:hAnsi="Times New Roman" w:cs="Times New Roman"/>
          </w:rPr>
          <w:fldChar w:fldCharType="end"/>
        </w:r>
      </w:p>
    </w:sdtContent>
  </w:sdt>
  <w:p w:rsidR="00E67CD5" w:rsidRDefault="00E67C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E4" w:rsidRDefault="00006BE4" w:rsidP="00E67CD5">
      <w:r>
        <w:separator/>
      </w:r>
    </w:p>
  </w:footnote>
  <w:footnote w:type="continuationSeparator" w:id="0">
    <w:p w:rsidR="00006BE4" w:rsidRDefault="00006BE4" w:rsidP="00E6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AD2"/>
    <w:multiLevelType w:val="hybridMultilevel"/>
    <w:tmpl w:val="2550C62E"/>
    <w:lvl w:ilvl="0" w:tplc="96DACE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0257"/>
    <w:multiLevelType w:val="hybridMultilevel"/>
    <w:tmpl w:val="00725122"/>
    <w:lvl w:ilvl="0" w:tplc="B72A637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A6A46"/>
    <w:multiLevelType w:val="hybridMultilevel"/>
    <w:tmpl w:val="2550C62E"/>
    <w:lvl w:ilvl="0" w:tplc="96DACE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032B38"/>
    <w:multiLevelType w:val="hybridMultilevel"/>
    <w:tmpl w:val="704C9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D5"/>
    <w:rsid w:val="00006BE4"/>
    <w:rsid w:val="00474336"/>
    <w:rsid w:val="004D7B36"/>
    <w:rsid w:val="00564DB9"/>
    <w:rsid w:val="00592AF5"/>
    <w:rsid w:val="005F7529"/>
    <w:rsid w:val="006B76A4"/>
    <w:rsid w:val="00E67CD5"/>
    <w:rsid w:val="00F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7C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67CD5"/>
    <w:pPr>
      <w:ind w:leftChars="200" w:left="480"/>
    </w:pPr>
  </w:style>
  <w:style w:type="character" w:customStyle="1" w:styleId="a4">
    <w:name w:val="清單段落 字元"/>
    <w:link w:val="a3"/>
    <w:uiPriority w:val="34"/>
    <w:rsid w:val="00E67CD5"/>
  </w:style>
  <w:style w:type="table" w:styleId="a5">
    <w:name w:val="Table Grid"/>
    <w:basedOn w:val="a1"/>
    <w:uiPriority w:val="39"/>
    <w:rsid w:val="00E67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7C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7C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7C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67CD5"/>
    <w:pPr>
      <w:ind w:leftChars="200" w:left="480"/>
    </w:pPr>
  </w:style>
  <w:style w:type="character" w:customStyle="1" w:styleId="a4">
    <w:name w:val="清單段落 字元"/>
    <w:link w:val="a3"/>
    <w:uiPriority w:val="34"/>
    <w:rsid w:val="00E67CD5"/>
  </w:style>
  <w:style w:type="table" w:styleId="a5">
    <w:name w:val="Table Grid"/>
    <w:basedOn w:val="a1"/>
    <w:uiPriority w:val="39"/>
    <w:rsid w:val="00E67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7C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7C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2017-05-02T00:43:00Z</dcterms:created>
  <dcterms:modified xsi:type="dcterms:W3CDTF">2017-05-02T00:43:00Z</dcterms:modified>
</cp:coreProperties>
</file>